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81"/>
        <w:rPr>
          <w:rFonts w:ascii="Times New Roman"/>
          <w:i w:val="0"/>
          <w:u w:val="none"/>
        </w:rPr>
      </w:pPr>
      <w:r>
        <w:rPr>
          <w:rFonts w:ascii="Times New Roman"/>
          <w:i w:val="0"/>
          <w:u w:val="none"/>
        </w:rPr>
        <w:drawing>
          <wp:inline distT="0" distB="0" distL="0" distR="0">
            <wp:extent cx="4272613" cy="4857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61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u w:val="none"/>
        </w:rPr>
      </w:r>
    </w:p>
    <w:p>
      <w:pPr>
        <w:pStyle w:val="BodyText"/>
        <w:spacing w:before="4"/>
        <w:rPr>
          <w:rFonts w:ascii="Times New Roman"/>
          <w:i w:val="0"/>
          <w:sz w:val="14"/>
          <w:u w:val="none"/>
        </w:rPr>
      </w:pPr>
    </w:p>
    <w:p>
      <w:pPr>
        <w:pStyle w:val="Title"/>
      </w:pPr>
      <w:r>
        <w:rPr/>
        <w:t>Annexure-I: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disclosures</w:t>
      </w:r>
    </w:p>
    <w:p>
      <w:pPr>
        <w:pStyle w:val="BodyText"/>
        <w:rPr>
          <w:b/>
          <w:i w:val="0"/>
          <w:u w:val="none"/>
        </w:rPr>
      </w:pPr>
    </w:p>
    <w:p>
      <w:pPr>
        <w:pStyle w:val="BodyText"/>
        <w:spacing w:before="5"/>
        <w:rPr>
          <w:b/>
          <w:i w:val="0"/>
          <w:sz w:val="16"/>
          <w:u w:val="none"/>
        </w:rPr>
      </w:pPr>
      <w:r>
        <w:rPr/>
        <w:pict>
          <v:group style="position:absolute;margin-left:71.784012pt;margin-top:11.422842pt;width:469.8pt;height:139.75pt;mso-position-horizontal-relative:page;mso-position-vertical-relative:paragraph;z-index:-15728640;mso-wrap-distance-left:0;mso-wrap-distance-right:0" coordorigin="1436,228" coordsize="9396,2795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559;width:9386;height:2459" type="#_x0000_t202" filled="false" stroked="true" strokeweight=".47998pt" strokecolor="#000000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463" w:val="left" w:leader="none"/>
                        <w:tab w:pos="464" w:val="left" w:leader="none"/>
                      </w:tabs>
                      <w:spacing w:line="267" w:lineRule="exact" w:before="0"/>
                      <w:ind w:left="463" w:right="0" w:hanging="361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9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out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10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individual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traders in equity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Futures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Options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Segment,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incurred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net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losses.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63" w:val="left" w:leader="none"/>
                        <w:tab w:pos="464" w:val="left" w:leader="none"/>
                      </w:tabs>
                      <w:spacing w:before="184"/>
                      <w:ind w:left="463" w:right="0" w:hanging="361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On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average,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loss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makers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registered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net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trading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loss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close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to </w:t>
                    </w:r>
                    <w:r>
                      <w:rPr>
                        <w:rFonts w:ascii="Tahoma" w:hAnsi="Tahoma"/>
                        <w:sz w:val="23"/>
                      </w:rPr>
                      <w:t>₹</w:t>
                    </w:r>
                    <w:r>
                      <w:rPr>
                        <w:rFonts w:ascii="Tahoma" w:hAnsi="Tahoma"/>
                        <w:spacing w:val="-11"/>
                        <w:sz w:val="23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50,000.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63" w:val="left" w:leader="none"/>
                        <w:tab w:pos="464" w:val="left" w:leader="none"/>
                      </w:tabs>
                      <w:spacing w:line="271" w:lineRule="auto" w:before="201"/>
                      <w:ind w:left="463" w:right="99" w:hanging="36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Over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and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above</w:t>
                    </w:r>
                    <w:r>
                      <w:rPr>
                        <w:i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the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net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trading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losses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incurred,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loss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makers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expended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an</w:t>
                    </w:r>
                    <w:r>
                      <w:rPr>
                        <w:i/>
                        <w:spacing w:val="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additional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28%</w:t>
                    </w:r>
                    <w:r>
                      <w:rPr>
                        <w:i/>
                        <w:spacing w:val="-5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 net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trading losses</w:t>
                    </w:r>
                    <w:r>
                      <w:rPr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as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transaction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costs.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463" w:val="left" w:leader="none"/>
                        <w:tab w:pos="464" w:val="left" w:leader="none"/>
                      </w:tabs>
                      <w:spacing w:line="268" w:lineRule="auto" w:before="168"/>
                      <w:ind w:left="463" w:right="98" w:hanging="36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Those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making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net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trading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profits,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incurred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between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15%</w:t>
                    </w:r>
                    <w:r>
                      <w:rPr>
                        <w:i/>
                        <w:spacing w:val="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to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50%</w:t>
                    </w:r>
                    <w:r>
                      <w:rPr>
                        <w:i/>
                        <w:spacing w:val="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such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profits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as</w:t>
                    </w:r>
                    <w:r>
                      <w:rPr>
                        <w:i/>
                        <w:spacing w:val="-5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transaction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cost.</w:t>
                    </w:r>
                  </w:p>
                </w:txbxContent>
              </v:textbox>
              <v:stroke dashstyle="solid"/>
              <w10:wrap type="none"/>
            </v:shape>
            <v:shape style="position:absolute;left:1440;top:233;width:9386;height:327" type="#_x0000_t202" filled="false" stroked="true" strokeweight=".47998pt" strokecolor="#000000">
              <v:textbox inset="0,0,0,0">
                <w:txbxContent>
                  <w:p>
                    <w:pPr>
                      <w:spacing w:before="21"/>
                      <w:ind w:left="2625" w:right="2625"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RISK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DISCLOSURES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ON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DERIVATIVES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i w:val="0"/>
          <w:sz w:val="8"/>
          <w:u w:val="none"/>
        </w:rPr>
      </w:pPr>
    </w:p>
    <w:p>
      <w:pPr>
        <w:pStyle w:val="BodyText"/>
        <w:spacing w:before="93"/>
        <w:ind w:left="120"/>
        <w:rPr>
          <w:u w:val="none"/>
        </w:rPr>
      </w:pPr>
      <w:r>
        <w:rPr>
          <w:u w:val="none"/>
        </w:rPr>
        <w:t>Source:</w:t>
      </w:r>
    </w:p>
    <w:p>
      <w:pPr>
        <w:pStyle w:val="BodyText"/>
        <w:rPr>
          <w:u w:val="none"/>
        </w:rPr>
      </w:pPr>
    </w:p>
    <w:p>
      <w:pPr>
        <w:pStyle w:val="BodyText"/>
        <w:spacing w:line="254" w:lineRule="auto" w:before="1"/>
        <w:ind w:left="547" w:right="173" w:hanging="286"/>
        <w:jc w:val="both"/>
        <w:rPr>
          <w:u w:val="none"/>
        </w:rPr>
      </w:pPr>
      <w:r>
        <w:rPr>
          <w:u w:val="none"/>
        </w:rPr>
        <w:t>1.</w:t>
      </w:r>
      <w:r>
        <w:rPr>
          <w:color w:val="0000FF"/>
          <w:spacing w:val="1"/>
          <w:u w:val="none"/>
        </w:rPr>
        <w:t> </w:t>
      </w:r>
      <w:r>
        <w:rPr>
          <w:color w:val="0000FF"/>
          <w:u w:val="single" w:color="0000FF"/>
        </w:rPr>
        <w:t>SEBI study dated January 25, 2023 on “Analysis of Profit and Loss of Individual Traders dealing in</w:t>
      </w:r>
      <w:r>
        <w:rPr>
          <w:color w:val="0000FF"/>
          <w:spacing w:val="1"/>
          <w:u w:val="none"/>
        </w:rPr>
        <w:t> </w:t>
      </w:r>
      <w:r>
        <w:rPr>
          <w:color w:val="0000FF"/>
          <w:u w:val="single" w:color="0000FF"/>
        </w:rPr>
        <w:t>equity Futures and Options (F&amp;O) Segment”, wherein Aggregate Level findings are based on annual</w:t>
      </w:r>
      <w:r>
        <w:rPr>
          <w:color w:val="0000FF"/>
          <w:spacing w:val="-53"/>
          <w:u w:val="none"/>
        </w:rPr>
        <w:t> </w:t>
      </w:r>
      <w:r>
        <w:rPr>
          <w:color w:val="0000FF"/>
          <w:u w:val="single" w:color="0000FF"/>
        </w:rPr>
        <w:t>Profit/Loss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incurred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by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individual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traders</w:t>
      </w:r>
      <w:r>
        <w:rPr>
          <w:color w:val="0000FF"/>
          <w:spacing w:val="4"/>
          <w:u w:val="single" w:color="0000FF"/>
        </w:rPr>
        <w:t> </w:t>
      </w:r>
      <w:r>
        <w:rPr>
          <w:color w:val="0000FF"/>
          <w:u w:val="single" w:color="0000FF"/>
        </w:rPr>
        <w:t>in equity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F&amp;O during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FY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2021-22.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"/>
        <w:rPr>
          <w:sz w:val="27"/>
          <w:u w:val="none"/>
        </w:rPr>
      </w:pPr>
    </w:p>
    <w:p>
      <w:pPr>
        <w:spacing w:before="93"/>
        <w:ind w:left="4054" w:right="4409" w:firstLine="0"/>
        <w:jc w:val="center"/>
        <w:rPr>
          <w:b/>
          <w:sz w:val="22"/>
        </w:rPr>
      </w:pPr>
      <w:r>
        <w:rPr>
          <w:rFonts w:ascii="Arial MT"/>
          <w:sz w:val="22"/>
        </w:rPr>
        <w:t>Page</w:t>
      </w:r>
      <w:r>
        <w:rPr>
          <w:rFonts w:ascii="Arial MT"/>
          <w:spacing w:val="1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2"/>
          <w:sz w:val="22"/>
        </w:rPr>
        <w:t> </w:t>
      </w:r>
      <w:r>
        <w:rPr>
          <w:rFonts w:ascii="Arial MT"/>
          <w:sz w:val="22"/>
        </w:rPr>
        <w:t>of</w:t>
      </w:r>
      <w:r>
        <w:rPr>
          <w:rFonts w:ascii="Arial MT"/>
          <w:spacing w:val="2"/>
          <w:sz w:val="22"/>
        </w:rPr>
        <w:t> </w:t>
      </w:r>
      <w:r>
        <w:rPr>
          <w:b/>
          <w:sz w:val="22"/>
        </w:rPr>
        <w:t>5</w:t>
      </w:r>
    </w:p>
    <w:sectPr>
      <w:type w:val="continuous"/>
      <w:pgSz w:w="11910" w:h="16840"/>
      <w:pgMar w:top="400" w:bottom="280" w:left="13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2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2023-05-31T05:53:13Z</dcterms:created>
  <dcterms:modified xsi:type="dcterms:W3CDTF">2023-05-31T05:53:13Z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2023-05-31T00:00:00Z</vt:filetime>
  </property>
</Properties>
</file>